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202EF" w14:textId="77777777" w:rsidR="007352A0" w:rsidRDefault="007352A0" w:rsidP="00070AB5"/>
    <w:p w14:paraId="1F796EB7" w14:textId="5FE11DEF" w:rsidR="006E4AA8" w:rsidRDefault="005E398A" w:rsidP="00F902B6">
      <w:pPr>
        <w:pStyle w:val="Heading2"/>
      </w:pPr>
      <w:r>
        <w:t xml:space="preserve">2021 </w:t>
      </w:r>
      <w:r w:rsidR="00F902B6">
        <w:t xml:space="preserve">Budget article by Think </w:t>
      </w:r>
      <w:proofErr w:type="gramStart"/>
      <w:r w:rsidR="00F902B6">
        <w:t>Forward</w:t>
      </w:r>
      <w:proofErr w:type="gramEnd"/>
    </w:p>
    <w:p w14:paraId="6EC991E1" w14:textId="492BF2CB" w:rsidR="00C3670B" w:rsidRDefault="00CC4B60" w:rsidP="00F902B6">
      <w:pPr>
        <w:pStyle w:val="Heading4"/>
        <w:rPr>
          <w:b/>
          <w:bCs/>
        </w:rPr>
      </w:pPr>
      <w:r>
        <w:rPr>
          <w:b/>
          <w:bCs/>
        </w:rPr>
        <w:t>L</w:t>
      </w:r>
      <w:r w:rsidR="002E1F5F" w:rsidRPr="005B6E97">
        <w:rPr>
          <w:b/>
          <w:bCs/>
        </w:rPr>
        <w:t xml:space="preserve">ack of intergenerational fairness in </w:t>
      </w:r>
      <w:r w:rsidR="00573C75">
        <w:rPr>
          <w:b/>
          <w:bCs/>
        </w:rPr>
        <w:t>B</w:t>
      </w:r>
      <w:r w:rsidR="00573C75" w:rsidRPr="005B6E97">
        <w:rPr>
          <w:b/>
          <w:bCs/>
        </w:rPr>
        <w:t>udget</w:t>
      </w:r>
      <w:r>
        <w:rPr>
          <w:b/>
          <w:bCs/>
        </w:rPr>
        <w:t xml:space="preserve"> lets down young people</w:t>
      </w:r>
      <w:r w:rsidR="00573C75">
        <w:rPr>
          <w:b/>
          <w:bCs/>
        </w:rPr>
        <w:t>, again</w:t>
      </w:r>
      <w:r w:rsidR="00573C75" w:rsidRPr="005B6E97">
        <w:rPr>
          <w:b/>
          <w:bCs/>
        </w:rPr>
        <w:t>.</w:t>
      </w:r>
    </w:p>
    <w:p w14:paraId="7CAD36A1" w14:textId="77777777" w:rsidR="00F902B6" w:rsidRPr="00F902B6" w:rsidRDefault="00F902B6" w:rsidP="00F902B6"/>
    <w:p w14:paraId="22288B4E" w14:textId="506392E8" w:rsidR="005B6E97" w:rsidRDefault="007352A0" w:rsidP="00070AB5">
      <w:r w:rsidRPr="007352A0">
        <w:t>Young people want to live a quality life</w:t>
      </w:r>
      <w:r>
        <w:t xml:space="preserve"> and </w:t>
      </w:r>
      <w:r w:rsidR="00F902B6">
        <w:t xml:space="preserve">confidently </w:t>
      </w:r>
      <w:r>
        <w:t>mov</w:t>
      </w:r>
      <w:r w:rsidR="002E1F5F">
        <w:t>e</w:t>
      </w:r>
      <w:r>
        <w:t xml:space="preserve"> through the same life stages as generations prior</w:t>
      </w:r>
      <w:r w:rsidRPr="007352A0">
        <w:t xml:space="preserve"> –</w:t>
      </w:r>
      <w:r w:rsidR="006E4AA8">
        <w:t xml:space="preserve"> a quality education,</w:t>
      </w:r>
      <w:r w:rsidRPr="007352A0">
        <w:t xml:space="preserve"> stable and </w:t>
      </w:r>
      <w:r w:rsidRPr="007352A0">
        <w:t>well-paid</w:t>
      </w:r>
      <w:r w:rsidRPr="007352A0">
        <w:t xml:space="preserve"> career, </w:t>
      </w:r>
      <w:r w:rsidR="006E4AA8">
        <w:t xml:space="preserve">buying </w:t>
      </w:r>
      <w:r>
        <w:t>a</w:t>
      </w:r>
      <w:r w:rsidRPr="007352A0">
        <w:t xml:space="preserve"> home</w:t>
      </w:r>
      <w:r>
        <w:t xml:space="preserve">, </w:t>
      </w:r>
      <w:r w:rsidRPr="007352A0">
        <w:t>start</w:t>
      </w:r>
      <w:r w:rsidR="006E4AA8">
        <w:t>ing</w:t>
      </w:r>
      <w:r w:rsidRPr="007352A0">
        <w:t xml:space="preserve"> a </w:t>
      </w:r>
      <w:proofErr w:type="gramStart"/>
      <w:r w:rsidRPr="007352A0">
        <w:t>family</w:t>
      </w:r>
      <w:proofErr w:type="gramEnd"/>
      <w:r>
        <w:t xml:space="preserve"> and build</w:t>
      </w:r>
      <w:r w:rsidR="006E4AA8">
        <w:t>ing</w:t>
      </w:r>
      <w:r>
        <w:t xml:space="preserve"> up wealth for retirement</w:t>
      </w:r>
      <w:r w:rsidRPr="007352A0">
        <w:t xml:space="preserve">. But </w:t>
      </w:r>
      <w:r w:rsidRPr="007352A0">
        <w:t>instead,</w:t>
      </w:r>
      <w:r w:rsidRPr="007352A0">
        <w:t xml:space="preserve"> many young people are genuinely fearful of what their economic future looks like. We want</w:t>
      </w:r>
      <w:r w:rsidR="005B6E97">
        <w:t>ed</w:t>
      </w:r>
      <w:r w:rsidRPr="007352A0">
        <w:t xml:space="preserve"> a budget that addresses this fear</w:t>
      </w:r>
      <w:r w:rsidR="00F902B6">
        <w:t>. Instead, y</w:t>
      </w:r>
      <w:r w:rsidR="00F902B6" w:rsidRPr="00F902B6">
        <w:t xml:space="preserve">oung people and future generations </w:t>
      </w:r>
      <w:r w:rsidR="00F902B6">
        <w:t xml:space="preserve">were again </w:t>
      </w:r>
      <w:r w:rsidR="00F902B6" w:rsidRPr="00F902B6">
        <w:t>let down by a lack of intergenerational fairness in Budget</w:t>
      </w:r>
      <w:r w:rsidRPr="007352A0">
        <w:t>.</w:t>
      </w:r>
      <w:r w:rsidRPr="007352A0">
        <w:t xml:space="preserve"> </w:t>
      </w:r>
    </w:p>
    <w:p w14:paraId="2FC575B4" w14:textId="1707AD5E" w:rsidR="00EE24DE" w:rsidRDefault="005B6E97" w:rsidP="002F1751">
      <w:r w:rsidRPr="005B6E97">
        <w:t xml:space="preserve">Intergenerational fairness describes the idea that there should be economic and social fairness between generations. </w:t>
      </w:r>
      <w:r w:rsidR="00FC5510">
        <w:t>Intergenerational</w:t>
      </w:r>
      <w:r>
        <w:t xml:space="preserve"> fairness is not about pitting generations against each other</w:t>
      </w:r>
      <w:r w:rsidR="002F1751">
        <w:t xml:space="preserve">. </w:t>
      </w:r>
      <w:r w:rsidR="00EE24DE">
        <w:t>It is about the</w:t>
      </w:r>
      <w:r w:rsidR="002F1751" w:rsidRPr="002F1751">
        <w:t xml:space="preserve"> implicit generational bargain that underpins the relationship between younger and older Australians and our tax and </w:t>
      </w:r>
      <w:r w:rsidR="002F1751">
        <w:t>spending priorities</w:t>
      </w:r>
      <w:r w:rsidR="002F1751" w:rsidRPr="002F1751">
        <w:t>.</w:t>
      </w:r>
      <w:r w:rsidR="002F1751">
        <w:t xml:space="preserve"> </w:t>
      </w:r>
    </w:p>
    <w:p w14:paraId="42ECA769" w14:textId="24ABC7B8" w:rsidR="002F1751" w:rsidRDefault="002F1751" w:rsidP="002F1751">
      <w:r w:rsidRPr="002F1751">
        <w:t>It comprises two fundamental ideas</w:t>
      </w:r>
      <w:r>
        <w:t xml:space="preserve">. One, </w:t>
      </w:r>
      <w:r w:rsidRPr="002F1751">
        <w:t xml:space="preserve">working-age Australians contribute to the care of older and younger Australians (who </w:t>
      </w:r>
      <w:r w:rsidR="0035465B">
        <w:t>are not</w:t>
      </w:r>
      <w:r w:rsidRPr="002F1751">
        <w:t xml:space="preserve"> work</w:t>
      </w:r>
      <w:r w:rsidR="00EE24DE">
        <w:t>ing</w:t>
      </w:r>
      <w:r w:rsidRPr="002F1751">
        <w:t>) and can expect the generation after them to support them in the same way.</w:t>
      </w:r>
      <w:r>
        <w:t xml:space="preserve"> </w:t>
      </w:r>
      <w:r w:rsidR="00F902B6">
        <w:t>And t</w:t>
      </w:r>
      <w:r>
        <w:t>wo, t</w:t>
      </w:r>
      <w:r w:rsidRPr="002F1751">
        <w:t>hat economic growth and social development will enable each successive generation to enjoy rising living standards.</w:t>
      </w:r>
    </w:p>
    <w:p w14:paraId="0A13857A" w14:textId="1F24A9EF" w:rsidR="00F902B6" w:rsidRDefault="00F902B6" w:rsidP="002F1751">
      <w:r>
        <w:t>T</w:t>
      </w:r>
      <w:r w:rsidRPr="00F902B6">
        <w:t xml:space="preserve">he government is spending </w:t>
      </w:r>
      <w:r>
        <w:t>vast</w:t>
      </w:r>
      <w:r w:rsidRPr="00F902B6">
        <w:t xml:space="preserve"> amounts of money to pull Australia out of the COVID-19 recession. While necessary, young people and future generations will be tasked with repaying the unprecedented debt accrued. In return, we expect investment in our future</w:t>
      </w:r>
      <w:r>
        <w:t xml:space="preserve">. Plus, </w:t>
      </w:r>
      <w:r w:rsidRPr="00F902B6">
        <w:t xml:space="preserve">a vision for how the money will be spent to improve </w:t>
      </w:r>
      <w:r>
        <w:t>economic outcomes</w:t>
      </w:r>
      <w:r w:rsidRPr="00F902B6">
        <w:t xml:space="preserve"> over the coming decades</w:t>
      </w:r>
      <w:r>
        <w:t xml:space="preserve"> to re-design our economy for </w:t>
      </w:r>
      <w:r w:rsidR="0035465B">
        <w:t>good careers in the</w:t>
      </w:r>
      <w:r>
        <w:t xml:space="preserve"> jobs of the future, taking account of climate change and longer lifespans</w:t>
      </w:r>
      <w:r w:rsidRPr="00F902B6">
        <w:t>. But that investment and guarantee of a better future does not exist</w:t>
      </w:r>
      <w:r>
        <w:t xml:space="preserve"> in this Budget or Government policy more broadly</w:t>
      </w:r>
      <w:r w:rsidRPr="00F902B6">
        <w:t>.</w:t>
      </w:r>
    </w:p>
    <w:p w14:paraId="3201C1DD" w14:textId="24E62CA5" w:rsidR="002F1751" w:rsidRDefault="00EE24DE" w:rsidP="00070AB5">
      <w:r>
        <w:t>In this year</w:t>
      </w:r>
      <w:r w:rsidR="00F902B6">
        <w:t>'</w:t>
      </w:r>
      <w:r>
        <w:t>s Budget, t</w:t>
      </w:r>
      <w:r w:rsidR="002F1751" w:rsidRPr="002F1751">
        <w:t>he funding for aged</w:t>
      </w:r>
      <w:r w:rsidR="00F902B6">
        <w:t>-</w:t>
      </w:r>
      <w:r w:rsidR="002F1751" w:rsidRPr="002F1751">
        <w:t xml:space="preserve">care is </w:t>
      </w:r>
      <w:r>
        <w:t>a</w:t>
      </w:r>
      <w:r w:rsidR="00F902B6">
        <w:t>n excellen</w:t>
      </w:r>
      <w:r>
        <w:t xml:space="preserve">t outcome </w:t>
      </w:r>
      <w:r w:rsidR="002F1751" w:rsidRPr="002F1751">
        <w:t xml:space="preserve">for improving the lives of </w:t>
      </w:r>
      <w:r w:rsidR="00F902B6">
        <w:t xml:space="preserve">in-need </w:t>
      </w:r>
      <w:r w:rsidR="002F1751" w:rsidRPr="002F1751">
        <w:t xml:space="preserve">older </w:t>
      </w:r>
      <w:r w:rsidR="00F902B6">
        <w:t>Australians</w:t>
      </w:r>
      <w:r w:rsidR="002F1751" w:rsidRPr="002F1751">
        <w:t>, while the funding for mental health is critically important to improv</w:t>
      </w:r>
      <w:r w:rsidR="00F902B6">
        <w:t>ing</w:t>
      </w:r>
      <w:r w:rsidR="002F1751" w:rsidRPr="002F1751">
        <w:t xml:space="preserve"> health outcomes for young Australians.</w:t>
      </w:r>
      <w:r w:rsidR="004242CF">
        <w:t xml:space="preserve"> </w:t>
      </w:r>
    </w:p>
    <w:p w14:paraId="57C4B605" w14:textId="11F988AE" w:rsidR="00C3670B" w:rsidRDefault="002F1751" w:rsidP="00070AB5">
      <w:r>
        <w:t>But the i</w:t>
      </w:r>
      <w:r w:rsidR="00705765">
        <w:t xml:space="preserve">ntergenerational issues </w:t>
      </w:r>
      <w:r>
        <w:t xml:space="preserve">in the Budget are clear to see. They </w:t>
      </w:r>
      <w:r w:rsidR="00705765" w:rsidRPr="00705765">
        <w:t>include</w:t>
      </w:r>
      <w:r>
        <w:t xml:space="preserve"> the</w:t>
      </w:r>
      <w:r w:rsidR="00705765" w:rsidRPr="00705765">
        <w:t xml:space="preserve"> </w:t>
      </w:r>
      <w:r>
        <w:t xml:space="preserve">ongoing </w:t>
      </w:r>
      <w:r w:rsidR="00705765" w:rsidRPr="00705765">
        <w:t>short-termism</w:t>
      </w:r>
      <w:r>
        <w:t xml:space="preserve"> in public policy</w:t>
      </w:r>
      <w:r w:rsidR="0035465B">
        <w:t>,</w:t>
      </w:r>
      <w:r w:rsidR="00F902B6">
        <w:t xml:space="preserve"> and the </w:t>
      </w:r>
      <w:r w:rsidR="00705765" w:rsidRPr="00705765">
        <w:t>failure of successive governments to ensure a sufficient supply of affordable homes</w:t>
      </w:r>
      <w:r w:rsidR="00F902B6">
        <w:t>. It is also clear to see the</w:t>
      </w:r>
      <w:r>
        <w:t xml:space="preserve"> ongoing</w:t>
      </w:r>
      <w:r w:rsidR="00705765" w:rsidRPr="00705765">
        <w:t xml:space="preserve"> failure to make proper provision for</w:t>
      </w:r>
      <w:r w:rsidR="00F902B6">
        <w:t xml:space="preserve"> the increasing</w:t>
      </w:r>
      <w:r w:rsidR="00705765" w:rsidRPr="00705765">
        <w:t xml:space="preserve"> </w:t>
      </w:r>
      <w:r w:rsidR="00F902B6">
        <w:t>aged-care costs</w:t>
      </w:r>
      <w:r w:rsidR="00705765" w:rsidRPr="00705765">
        <w:t xml:space="preserve"> for the </w:t>
      </w:r>
      <w:r w:rsidR="00F902B6">
        <w:t>sizeabl</w:t>
      </w:r>
      <w:r w:rsidR="00705765" w:rsidRPr="00705765">
        <w:t>e post</w:t>
      </w:r>
      <w:r w:rsidR="00F902B6">
        <w:t>-</w:t>
      </w:r>
      <w:r w:rsidR="00705765" w:rsidRPr="00705765">
        <w:t>war cohort</w:t>
      </w:r>
      <w:r w:rsidR="00F902B6">
        <w:t>,</w:t>
      </w:r>
      <w:r w:rsidR="00705765" w:rsidRPr="00705765">
        <w:t xml:space="preserve"> who will rely on </w:t>
      </w:r>
      <w:r>
        <w:t xml:space="preserve">a </w:t>
      </w:r>
      <w:r w:rsidR="00705765" w:rsidRPr="00705765">
        <w:t>smaller</w:t>
      </w:r>
      <w:r>
        <w:t xml:space="preserve"> cohort of</w:t>
      </w:r>
      <w:r w:rsidR="00705765" w:rsidRPr="00705765">
        <w:t xml:space="preserve"> younger generations to pay for </w:t>
      </w:r>
      <w:r w:rsidR="00F902B6">
        <w:t xml:space="preserve">the </w:t>
      </w:r>
      <w:r w:rsidR="00705765">
        <w:t>ongoing funding.</w:t>
      </w:r>
      <w:r w:rsidR="00F902B6">
        <w:t xml:space="preserve"> Tax cuts and concession</w:t>
      </w:r>
      <w:r w:rsidR="0035465B">
        <w:t>s</w:t>
      </w:r>
      <w:r w:rsidR="00F902B6">
        <w:t xml:space="preserve"> make the task </w:t>
      </w:r>
      <w:r w:rsidR="0035465B">
        <w:t xml:space="preserve">even </w:t>
      </w:r>
      <w:r w:rsidR="00F902B6">
        <w:t>harder. The most considerable</w:t>
      </w:r>
      <w:r w:rsidR="00F902B6" w:rsidRPr="00F902B6">
        <w:t xml:space="preserve"> </w:t>
      </w:r>
      <w:r w:rsidR="00F902B6">
        <w:t xml:space="preserve">tax benefits in value are </w:t>
      </w:r>
      <w:r w:rsidR="00F902B6" w:rsidRPr="00F902B6">
        <w:t>targeted at large businesses</w:t>
      </w:r>
      <w:r w:rsidR="00F902B6" w:rsidRPr="00F902B6">
        <w:t xml:space="preserve"> </w:t>
      </w:r>
      <w:r w:rsidR="00F902B6">
        <w:t xml:space="preserve">(through </w:t>
      </w:r>
      <w:r w:rsidR="00F902B6" w:rsidRPr="00F902B6">
        <w:t>the instant asset write-off concession</w:t>
      </w:r>
      <w:r w:rsidR="00F902B6">
        <w:t>)</w:t>
      </w:r>
      <w:r w:rsidR="00F902B6" w:rsidRPr="00F902B6">
        <w:t xml:space="preserve"> and well-off households</w:t>
      </w:r>
      <w:r w:rsidR="00F902B6">
        <w:t xml:space="preserve"> (the reaffirmed</w:t>
      </w:r>
      <w:r w:rsidR="00F902B6" w:rsidRPr="00F902B6">
        <w:t xml:space="preserve"> Stage Three personal income tax cuts</w:t>
      </w:r>
      <w:r w:rsidR="00F902B6">
        <w:t>).</w:t>
      </w:r>
    </w:p>
    <w:p w14:paraId="39CFEA44" w14:textId="09FD3E4D" w:rsidR="00C3670B" w:rsidRDefault="00C3670B" w:rsidP="00070AB5">
      <w:r w:rsidRPr="00C3670B">
        <w:t xml:space="preserve">Now </w:t>
      </w:r>
      <w:r w:rsidR="00EE24DE">
        <w:t xml:space="preserve">was </w:t>
      </w:r>
      <w:r w:rsidRPr="00C3670B">
        <w:t xml:space="preserve">the time to reimagine the future of Australia and consider how it looks for young Australians. </w:t>
      </w:r>
      <w:r w:rsidR="0035465B">
        <w:t>Y</w:t>
      </w:r>
      <w:r w:rsidRPr="00C3670B">
        <w:t xml:space="preserve">oung Australians need bold reforms in our tax and </w:t>
      </w:r>
      <w:r w:rsidR="00F902B6">
        <w:t xml:space="preserve">spending priorities </w:t>
      </w:r>
      <w:r w:rsidRPr="00C3670B">
        <w:t>to not only ensure young Australians can receive the benefit of the stimulus they are paying for</w:t>
      </w:r>
      <w:r w:rsidR="00F902B6">
        <w:t>,</w:t>
      </w:r>
      <w:r w:rsidRPr="00C3670B">
        <w:t xml:space="preserve"> but to address long-standing intergenerational inequalities.</w:t>
      </w:r>
    </w:p>
    <w:p w14:paraId="1DA4184C" w14:textId="77777777" w:rsidR="0035465B" w:rsidRDefault="00FC5510" w:rsidP="00070AB5">
      <w:r w:rsidRPr="00FC5510">
        <w:lastRenderedPageBreak/>
        <w:t>The need for vast government spending was a golden opportunity to transform Australia for current and future generations. That opportunity has been wasted</w:t>
      </w:r>
      <w:r>
        <w:t xml:space="preserve">. </w:t>
      </w:r>
      <w:r w:rsidRPr="00FC5510">
        <w:t xml:space="preserve">While there were some welcome announcements, overall, the Budget is a political, short-term fix aimed at the next election. It further entrenches intergenerationally unjust public policy in employment, housing, education, </w:t>
      </w:r>
      <w:proofErr w:type="gramStart"/>
      <w:r w:rsidRPr="00FC5510">
        <w:t>superannuation</w:t>
      </w:r>
      <w:proofErr w:type="gramEnd"/>
      <w:r w:rsidRPr="00FC5510">
        <w:t xml:space="preserve"> and tax</w:t>
      </w:r>
      <w:r w:rsidR="004242CF">
        <w:t xml:space="preserve">. </w:t>
      </w:r>
    </w:p>
    <w:p w14:paraId="492D37D8" w14:textId="534BCA7E" w:rsidR="005B6E97" w:rsidRDefault="00EE24DE" w:rsidP="00070AB5">
      <w:r>
        <w:t xml:space="preserve">This </w:t>
      </w:r>
      <w:r w:rsidR="00F902B6">
        <w:t>contributes</w:t>
      </w:r>
      <w:r>
        <w:t xml:space="preserve"> to the shocking situation where </w:t>
      </w:r>
      <w:r w:rsidR="004242CF" w:rsidRPr="004242CF">
        <w:t>Australia</w:t>
      </w:r>
      <w:r w:rsidR="00F902B6">
        <w:t>'</w:t>
      </w:r>
      <w:r w:rsidR="004242CF" w:rsidRPr="004242CF">
        <w:t>s older generations are the richest in our nation's history</w:t>
      </w:r>
      <w:r>
        <w:t>, while</w:t>
      </w:r>
      <w:r w:rsidR="004242CF" w:rsidRPr="004242CF">
        <w:t xml:space="preserve"> </w:t>
      </w:r>
      <w:r w:rsidR="00FC5510" w:rsidRPr="00FC5510">
        <w:t xml:space="preserve">Australia's millennial generation </w:t>
      </w:r>
      <w:r>
        <w:t>is widely regarded as being</w:t>
      </w:r>
      <w:r w:rsidR="00FC5510" w:rsidRPr="00FC5510">
        <w:t xml:space="preserve"> </w:t>
      </w:r>
      <w:r>
        <w:t xml:space="preserve">the </w:t>
      </w:r>
      <w:r w:rsidR="00FC5510" w:rsidRPr="00FC5510">
        <w:t xml:space="preserve">first </w:t>
      </w:r>
      <w:r w:rsidR="00F902B6">
        <w:t xml:space="preserve">generation since federation </w:t>
      </w:r>
      <w:r w:rsidR="00FC5510" w:rsidRPr="00FC5510">
        <w:t>to have worse economic outcomes than the generation before.</w:t>
      </w:r>
      <w:r w:rsidR="00B63841">
        <w:t xml:space="preserve"> </w:t>
      </w:r>
    </w:p>
    <w:p w14:paraId="14922237" w14:textId="3004D73E" w:rsidR="00B63841" w:rsidRDefault="00EE24DE" w:rsidP="00070AB5">
      <w:r w:rsidRPr="00EE24DE">
        <w:t xml:space="preserve">Some </w:t>
      </w:r>
      <w:r>
        <w:t xml:space="preserve">of us </w:t>
      </w:r>
      <w:r w:rsidRPr="00EE24DE">
        <w:t>will</w:t>
      </w:r>
      <w:r w:rsidR="0035465B">
        <w:t xml:space="preserve"> avoid an uncertain economic future and</w:t>
      </w:r>
      <w:r w:rsidRPr="00EE24DE">
        <w:t xml:space="preserve"> </w:t>
      </w:r>
      <w:r w:rsidR="00C72446">
        <w:t xml:space="preserve">receive </w:t>
      </w:r>
      <w:r w:rsidRPr="00EE24DE">
        <w:t xml:space="preserve">wealth through </w:t>
      </w:r>
      <w:r w:rsidR="00F902B6">
        <w:t>ou</w:t>
      </w:r>
      <w:r w:rsidRPr="00EE24DE">
        <w:t xml:space="preserve">r parents. </w:t>
      </w:r>
      <w:r>
        <w:t xml:space="preserve">But that leads to a </w:t>
      </w:r>
      <w:r w:rsidRPr="00EE24DE">
        <w:t xml:space="preserve">future </w:t>
      </w:r>
      <w:r>
        <w:t xml:space="preserve">where </w:t>
      </w:r>
      <w:r w:rsidRPr="00EE24DE">
        <w:t xml:space="preserve">people's </w:t>
      </w:r>
      <w:r w:rsidR="00C72446">
        <w:t>financial position</w:t>
      </w:r>
      <w:r w:rsidRPr="00EE24DE">
        <w:t xml:space="preserve"> </w:t>
      </w:r>
      <w:proofErr w:type="gramStart"/>
      <w:r w:rsidRPr="00EE24DE">
        <w:t>won</w:t>
      </w:r>
      <w:r w:rsidR="00F902B6">
        <w:t>'</w:t>
      </w:r>
      <w:r w:rsidRPr="00EE24DE">
        <w:t>t</w:t>
      </w:r>
      <w:proofErr w:type="gramEnd"/>
      <w:r w:rsidRPr="00EE24DE">
        <w:t xml:space="preserve"> be determined by hard work</w:t>
      </w:r>
      <w:r>
        <w:t xml:space="preserve"> and talent</w:t>
      </w:r>
      <w:r w:rsidRPr="00EE24DE">
        <w:t>, but rather inheritance. Inequality will be turbo-charged</w:t>
      </w:r>
      <w:r>
        <w:t xml:space="preserve">, and Australia will be a much worse nation for it. </w:t>
      </w:r>
      <w:r w:rsidR="00F902B6">
        <w:t xml:space="preserve">That is the future that continues to be chosen and celebrated. </w:t>
      </w:r>
    </w:p>
    <w:p w14:paraId="16EFFBAB" w14:textId="568FD9BB" w:rsidR="00EE24DE" w:rsidRDefault="00EE24DE" w:rsidP="00070AB5"/>
    <w:p w14:paraId="481FA973" w14:textId="373FEEE3" w:rsidR="007352A0" w:rsidRPr="00070AB5" w:rsidRDefault="00F902B6" w:rsidP="00070AB5">
      <w:r w:rsidRPr="00F902B6">
        <w:rPr>
          <w:b/>
          <w:bCs/>
        </w:rPr>
        <w:t>Author:</w:t>
      </w:r>
      <w:r>
        <w:t xml:space="preserve"> Thomas Walker, Economist-in-Residence at Think Forward. Think Forward is an advocacy group for young Australians who want </w:t>
      </w:r>
      <w:r w:rsidRPr="00F902B6">
        <w:t xml:space="preserve">to see issues of intergenerational fairness front and centre in Australian </w:t>
      </w:r>
      <w:r>
        <w:t>policymaking</w:t>
      </w:r>
    </w:p>
    <w:sectPr w:rsidR="007352A0" w:rsidRPr="00070AB5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A51DF9" w14:textId="77777777" w:rsidR="00AE0B6E" w:rsidRDefault="00AE0B6E">
      <w:r>
        <w:separator/>
      </w:r>
    </w:p>
  </w:endnote>
  <w:endnote w:type="continuationSeparator" w:id="0">
    <w:p w14:paraId="69F8C124" w14:textId="77777777" w:rsidR="00AE0B6E" w:rsidRDefault="00AE0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Next LT Pro Light">
    <w:altName w:val="Avenir Next LT Pro Light"/>
    <w:charset w:val="00"/>
    <w:family w:val="swiss"/>
    <w:pitch w:val="variable"/>
    <w:sig w:usb0="A00000EF" w:usb1="5000204B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E711F" w14:textId="77777777" w:rsidR="00A10407" w:rsidRDefault="006D371A">
    <w:pPr>
      <w:jc w:val="right"/>
    </w:pPr>
    <w:r>
      <w:fldChar w:fldCharType="begin"/>
    </w:r>
    <w:r>
      <w:instrText>PAGE</w:instrText>
    </w:r>
    <w:r>
      <w:fldChar w:fldCharType="separate"/>
    </w:r>
    <w:r w:rsidR="00FA77A1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B94250" w14:textId="77777777" w:rsidR="00AE0B6E" w:rsidRDefault="00AE0B6E">
      <w:r>
        <w:separator/>
      </w:r>
    </w:p>
  </w:footnote>
  <w:footnote w:type="continuationSeparator" w:id="0">
    <w:p w14:paraId="770BEEEC" w14:textId="77777777" w:rsidR="00AE0B6E" w:rsidRDefault="00AE0B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19BD1" w14:textId="77777777" w:rsidR="00A10407" w:rsidRDefault="006D371A">
    <w:pPr>
      <w:pStyle w:val="Heading1"/>
      <w:jc w:val="center"/>
    </w:pPr>
    <w:bookmarkStart w:id="0" w:name="_9nlwf8mmmdci" w:colFirst="0" w:colLast="0"/>
    <w:bookmarkEnd w:id="0"/>
    <w:r>
      <w:rPr>
        <w:noProof/>
      </w:rPr>
      <w:drawing>
        <wp:inline distT="114300" distB="114300" distL="114300" distR="114300" wp14:anchorId="5F636A8B" wp14:editId="03FB4DF0">
          <wp:extent cx="884238" cy="884238"/>
          <wp:effectExtent l="0" t="0" r="0" b="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84238" cy="8842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40C5D"/>
    <w:multiLevelType w:val="multilevel"/>
    <w:tmpl w:val="FCAA9D2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5BE6D9D"/>
    <w:multiLevelType w:val="multilevel"/>
    <w:tmpl w:val="D9B23260"/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abstractNum w:abstractNumId="2" w15:restartNumberingAfterBreak="0">
    <w:nsid w:val="0C3158E1"/>
    <w:multiLevelType w:val="multilevel"/>
    <w:tmpl w:val="FBC2EF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FB70F24"/>
    <w:multiLevelType w:val="hybridMultilevel"/>
    <w:tmpl w:val="59CEACF6"/>
    <w:lvl w:ilvl="0" w:tplc="E746F0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FF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DD49A3"/>
    <w:multiLevelType w:val="hybridMultilevel"/>
    <w:tmpl w:val="64E4EE66"/>
    <w:lvl w:ilvl="0" w:tplc="E746F0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FF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AB289D"/>
    <w:multiLevelType w:val="multilevel"/>
    <w:tmpl w:val="7B20EC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A5C0002"/>
    <w:multiLevelType w:val="hybridMultilevel"/>
    <w:tmpl w:val="118221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7D4E8C"/>
    <w:multiLevelType w:val="hybridMultilevel"/>
    <w:tmpl w:val="120E06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DC3907"/>
    <w:multiLevelType w:val="multilevel"/>
    <w:tmpl w:val="24C84F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338A6132"/>
    <w:multiLevelType w:val="multilevel"/>
    <w:tmpl w:val="F8F45FC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43874A28"/>
    <w:multiLevelType w:val="multilevel"/>
    <w:tmpl w:val="57FE30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468D4839"/>
    <w:multiLevelType w:val="hybridMultilevel"/>
    <w:tmpl w:val="A69C2214"/>
    <w:lvl w:ilvl="0" w:tplc="C0F042A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/>
        <w:spacing w:val="-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E41146"/>
    <w:multiLevelType w:val="multilevel"/>
    <w:tmpl w:val="A160572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52B355A8"/>
    <w:multiLevelType w:val="hybridMultilevel"/>
    <w:tmpl w:val="9AD8E5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81283D"/>
    <w:multiLevelType w:val="hybridMultilevel"/>
    <w:tmpl w:val="B83449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8D5687"/>
    <w:multiLevelType w:val="hybridMultilevel"/>
    <w:tmpl w:val="4C944C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4A3407"/>
    <w:multiLevelType w:val="multilevel"/>
    <w:tmpl w:val="7EF6140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5BC4406C"/>
    <w:multiLevelType w:val="multilevel"/>
    <w:tmpl w:val="826CE52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68F7297A"/>
    <w:multiLevelType w:val="hybridMultilevel"/>
    <w:tmpl w:val="DF6845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0C57DD"/>
    <w:multiLevelType w:val="multilevel"/>
    <w:tmpl w:val="131ED01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5"/>
  </w:num>
  <w:num w:numId="5">
    <w:abstractNumId w:val="1"/>
  </w:num>
  <w:num w:numId="6">
    <w:abstractNumId w:val="19"/>
  </w:num>
  <w:num w:numId="7">
    <w:abstractNumId w:val="16"/>
  </w:num>
  <w:num w:numId="8">
    <w:abstractNumId w:val="2"/>
  </w:num>
  <w:num w:numId="9">
    <w:abstractNumId w:val="17"/>
  </w:num>
  <w:num w:numId="10">
    <w:abstractNumId w:val="12"/>
  </w:num>
  <w:num w:numId="11">
    <w:abstractNumId w:val="10"/>
  </w:num>
  <w:num w:numId="12">
    <w:abstractNumId w:val="3"/>
  </w:num>
  <w:num w:numId="13">
    <w:abstractNumId w:val="11"/>
  </w:num>
  <w:num w:numId="14">
    <w:abstractNumId w:val="4"/>
  </w:num>
  <w:num w:numId="15">
    <w:abstractNumId w:val="15"/>
  </w:num>
  <w:num w:numId="16">
    <w:abstractNumId w:val="18"/>
  </w:num>
  <w:num w:numId="17">
    <w:abstractNumId w:val="13"/>
  </w:num>
  <w:num w:numId="18">
    <w:abstractNumId w:val="6"/>
  </w:num>
  <w:num w:numId="19">
    <w:abstractNumId w:val="14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MwszQwMjI0NbcwNrFQ0lEKTi0uzszPAykwrwUAlA0DpSwAAAA="/>
  </w:docVars>
  <w:rsids>
    <w:rsidRoot w:val="00A10407"/>
    <w:rsid w:val="0002079A"/>
    <w:rsid w:val="00043D10"/>
    <w:rsid w:val="000609EB"/>
    <w:rsid w:val="00070AB5"/>
    <w:rsid w:val="00087705"/>
    <w:rsid w:val="000C4DB4"/>
    <w:rsid w:val="000F3045"/>
    <w:rsid w:val="00131931"/>
    <w:rsid w:val="00170614"/>
    <w:rsid w:val="001728F2"/>
    <w:rsid w:val="00182218"/>
    <w:rsid w:val="00192DAA"/>
    <w:rsid w:val="00215B87"/>
    <w:rsid w:val="00235DD4"/>
    <w:rsid w:val="0025282C"/>
    <w:rsid w:val="002E1F5F"/>
    <w:rsid w:val="002F064D"/>
    <w:rsid w:val="002F1751"/>
    <w:rsid w:val="00313031"/>
    <w:rsid w:val="00323A19"/>
    <w:rsid w:val="00346249"/>
    <w:rsid w:val="0035465B"/>
    <w:rsid w:val="00356326"/>
    <w:rsid w:val="00357DB2"/>
    <w:rsid w:val="003C3367"/>
    <w:rsid w:val="003D2BD6"/>
    <w:rsid w:val="003F4300"/>
    <w:rsid w:val="0041748F"/>
    <w:rsid w:val="004242CF"/>
    <w:rsid w:val="004322EC"/>
    <w:rsid w:val="004655C7"/>
    <w:rsid w:val="004A2FC6"/>
    <w:rsid w:val="004A4411"/>
    <w:rsid w:val="004A6D35"/>
    <w:rsid w:val="004B3B7D"/>
    <w:rsid w:val="004B6B31"/>
    <w:rsid w:val="004C3D38"/>
    <w:rsid w:val="004D22FD"/>
    <w:rsid w:val="004E5C82"/>
    <w:rsid w:val="00503797"/>
    <w:rsid w:val="005557BC"/>
    <w:rsid w:val="00564AFD"/>
    <w:rsid w:val="005716F2"/>
    <w:rsid w:val="00573C75"/>
    <w:rsid w:val="005B640D"/>
    <w:rsid w:val="005B6E97"/>
    <w:rsid w:val="005E398A"/>
    <w:rsid w:val="005E5332"/>
    <w:rsid w:val="00613942"/>
    <w:rsid w:val="00631B3B"/>
    <w:rsid w:val="00642E34"/>
    <w:rsid w:val="00664CE3"/>
    <w:rsid w:val="00673BB9"/>
    <w:rsid w:val="006B58B0"/>
    <w:rsid w:val="006C3C54"/>
    <w:rsid w:val="006D371A"/>
    <w:rsid w:val="006E4AA8"/>
    <w:rsid w:val="00705765"/>
    <w:rsid w:val="00733C4F"/>
    <w:rsid w:val="007352A0"/>
    <w:rsid w:val="00735A1E"/>
    <w:rsid w:val="00736FCC"/>
    <w:rsid w:val="00743039"/>
    <w:rsid w:val="0074480E"/>
    <w:rsid w:val="0074506E"/>
    <w:rsid w:val="007709DD"/>
    <w:rsid w:val="007974D0"/>
    <w:rsid w:val="007A10E6"/>
    <w:rsid w:val="007A401B"/>
    <w:rsid w:val="007A6D17"/>
    <w:rsid w:val="007D0762"/>
    <w:rsid w:val="007D39F3"/>
    <w:rsid w:val="007D679F"/>
    <w:rsid w:val="007E3C74"/>
    <w:rsid w:val="00826583"/>
    <w:rsid w:val="00874E52"/>
    <w:rsid w:val="008807D4"/>
    <w:rsid w:val="008F6D0F"/>
    <w:rsid w:val="0091294D"/>
    <w:rsid w:val="009A1456"/>
    <w:rsid w:val="009C150F"/>
    <w:rsid w:val="00A02B28"/>
    <w:rsid w:val="00A069C2"/>
    <w:rsid w:val="00A10407"/>
    <w:rsid w:val="00A15B91"/>
    <w:rsid w:val="00A161F0"/>
    <w:rsid w:val="00A468A4"/>
    <w:rsid w:val="00A527F0"/>
    <w:rsid w:val="00AE0B6E"/>
    <w:rsid w:val="00AF4334"/>
    <w:rsid w:val="00B5735A"/>
    <w:rsid w:val="00B63841"/>
    <w:rsid w:val="00BC7F67"/>
    <w:rsid w:val="00BF4CD2"/>
    <w:rsid w:val="00C2145E"/>
    <w:rsid w:val="00C2355F"/>
    <w:rsid w:val="00C3670B"/>
    <w:rsid w:val="00C43EFC"/>
    <w:rsid w:val="00C5354C"/>
    <w:rsid w:val="00C72446"/>
    <w:rsid w:val="00CB1D23"/>
    <w:rsid w:val="00CC4B60"/>
    <w:rsid w:val="00CE11A9"/>
    <w:rsid w:val="00CE5B77"/>
    <w:rsid w:val="00D535BD"/>
    <w:rsid w:val="00D93246"/>
    <w:rsid w:val="00E363A7"/>
    <w:rsid w:val="00E45665"/>
    <w:rsid w:val="00EE24DE"/>
    <w:rsid w:val="00F20EB6"/>
    <w:rsid w:val="00F34293"/>
    <w:rsid w:val="00F342EB"/>
    <w:rsid w:val="00F90098"/>
    <w:rsid w:val="00F902B6"/>
    <w:rsid w:val="00F94375"/>
    <w:rsid w:val="00FA77A1"/>
    <w:rsid w:val="00FB5BFD"/>
    <w:rsid w:val="00FB6EBC"/>
    <w:rsid w:val="00FC5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8C6135"/>
  <w15:docId w15:val="{95A77EBD-0218-47E9-889C-ADDA50240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AU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4375"/>
    <w:rPr>
      <w:rFonts w:ascii="Avenir Next LT Pro Light" w:hAnsi="Avenir Next LT Pro Light"/>
      <w:sz w:val="21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rsid w:val="007D679F"/>
    <w:pPr>
      <w:keepNext/>
      <w:keepLines/>
      <w:spacing w:before="360" w:after="120"/>
      <w:outlineLvl w:val="1"/>
    </w:pPr>
    <w:rPr>
      <w:color w:val="0000FF"/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rsid w:val="007D679F"/>
    <w:pPr>
      <w:keepNext/>
      <w:keepLines/>
      <w:spacing w:before="280"/>
      <w:outlineLvl w:val="3"/>
    </w:pPr>
    <w:rPr>
      <w:color w:val="FF9999"/>
      <w:sz w:val="24"/>
      <w:szCs w:val="24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240"/>
      <w:outlineLvl w:val="4"/>
    </w:pPr>
    <w:rPr>
      <w:color w:val="666666"/>
      <w:sz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/>
      <w:outlineLvl w:val="5"/>
    </w:pPr>
    <w:rPr>
      <w:i/>
      <w:color w:val="666666"/>
      <w:sz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rFonts w:ascii="Arial" w:hAnsi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77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7A1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77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77A1"/>
    <w:rPr>
      <w:b/>
      <w:bCs/>
      <w:sz w:val="20"/>
      <w:szCs w:val="20"/>
    </w:rPr>
  </w:style>
  <w:style w:type="paragraph" w:styleId="NoSpacing">
    <w:name w:val="No Spacing"/>
    <w:uiPriority w:val="1"/>
    <w:qFormat/>
    <w:rsid w:val="0002079A"/>
    <w:rPr>
      <w:rFonts w:ascii="Avenir Next LT Pro Light" w:hAnsi="Avenir Next LT Pro Light"/>
      <w:sz w:val="21"/>
    </w:rPr>
  </w:style>
  <w:style w:type="paragraph" w:styleId="ListParagraph">
    <w:name w:val="List Paragraph"/>
    <w:basedOn w:val="Normal"/>
    <w:uiPriority w:val="34"/>
    <w:qFormat/>
    <w:rsid w:val="00F20EB6"/>
    <w:pPr>
      <w:ind w:left="720"/>
      <w:contextualSpacing/>
    </w:pPr>
  </w:style>
  <w:style w:type="character" w:styleId="IntenseReference">
    <w:name w:val="Intense Reference"/>
    <w:basedOn w:val="DefaultParagraphFont"/>
    <w:uiPriority w:val="32"/>
    <w:qFormat/>
    <w:rsid w:val="00C5354C"/>
    <w:rPr>
      <w:b/>
      <w:bCs/>
      <w:smallCaps/>
      <w:color w:val="4F81BD" w:themeColor="accent1"/>
      <w:spacing w:val="5"/>
    </w:rPr>
  </w:style>
  <w:style w:type="character" w:styleId="IntenseEmphasis">
    <w:name w:val="Intense Emphasis"/>
    <w:basedOn w:val="DefaultParagraphFont"/>
    <w:uiPriority w:val="21"/>
    <w:qFormat/>
    <w:rsid w:val="00C5354C"/>
    <w:rPr>
      <w:i/>
      <w:iCs/>
      <w:color w:val="4F81BD" w:themeColor="accent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527F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527F0"/>
    <w:rPr>
      <w:rFonts w:ascii="Avenir Next LT Pro Light" w:hAnsi="Avenir Next LT Pro Light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527F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A527F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27F0"/>
    <w:rPr>
      <w:color w:val="605E5C"/>
      <w:shd w:val="clear" w:color="auto" w:fill="E1DFDD"/>
    </w:rPr>
  </w:style>
  <w:style w:type="paragraph" w:styleId="Caption">
    <w:name w:val="caption"/>
    <w:basedOn w:val="Normal"/>
    <w:next w:val="Normal"/>
    <w:uiPriority w:val="35"/>
    <w:unhideWhenUsed/>
    <w:qFormat/>
    <w:rsid w:val="00FB6EBC"/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964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CE6E9D-3BFA-44B9-815F-DB21AB4C9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664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Thomas Walker</cp:lastModifiedBy>
  <cp:revision>6</cp:revision>
  <dcterms:created xsi:type="dcterms:W3CDTF">2021-05-12T10:08:00Z</dcterms:created>
  <dcterms:modified xsi:type="dcterms:W3CDTF">2021-05-12T10:27:00Z</dcterms:modified>
</cp:coreProperties>
</file>